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959" w:rsidRDefault="00877959" w:rsidP="00877959">
      <w:pPr>
        <w:ind w:left="2791" w:right="275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II</w:t>
      </w:r>
    </w:p>
    <w:p w:rsidR="00877959" w:rsidRDefault="00877959" w:rsidP="00877959">
      <w:pPr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left="0" w:right="319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Encaminhar preenchido, em formato Word e PDF, para </w:t>
      </w:r>
      <w:hyperlink r:id="rId7">
        <w:r>
          <w:rPr>
            <w:color w:val="1153CC"/>
            <w:sz w:val="24"/>
            <w:szCs w:val="24"/>
            <w:u w:val="single"/>
          </w:rPr>
          <w:t>proex-edu@ufrgs.br</w:t>
        </w:r>
      </w:hyperlink>
    </w:p>
    <w:p w:rsidR="00877959" w:rsidRDefault="00877959" w:rsidP="00877959">
      <w:pPr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left="0" w:right="0"/>
        <w:jc w:val="left"/>
        <w:rPr>
          <w:color w:val="000000"/>
          <w:sz w:val="20"/>
          <w:szCs w:val="20"/>
        </w:rPr>
      </w:pPr>
    </w:p>
    <w:tbl>
      <w:tblPr>
        <w:tblW w:w="13615" w:type="dxa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271"/>
        <w:gridCol w:w="2267"/>
        <w:gridCol w:w="2127"/>
        <w:gridCol w:w="1561"/>
        <w:gridCol w:w="1561"/>
        <w:gridCol w:w="2411"/>
      </w:tblGrid>
      <w:tr w:rsidR="00877959" w:rsidTr="00975985">
        <w:trPr>
          <w:trHeight w:val="825"/>
        </w:trPr>
        <w:tc>
          <w:tcPr>
            <w:tcW w:w="13615" w:type="dxa"/>
            <w:gridSpan w:val="7"/>
            <w:shd w:val="clear" w:color="auto" w:fill="F7C7AC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9" w:right="9161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LINHA DE PESQUISA: COORDENADOR/A DA LINHA:</w:t>
            </w: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9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 DE RECURSOS DESTINADOS (R$):</w:t>
            </w:r>
          </w:p>
        </w:tc>
      </w:tr>
      <w:tr w:rsidR="00877959" w:rsidTr="00975985">
        <w:trPr>
          <w:trHeight w:val="2530"/>
        </w:trPr>
        <w:tc>
          <w:tcPr>
            <w:tcW w:w="1417" w:type="dxa"/>
            <w:shd w:val="clear" w:color="auto" w:fill="FFEFCC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9" w:right="221" w:firstLine="134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Docente responsável</w:t>
            </w:r>
          </w:p>
        </w:tc>
        <w:tc>
          <w:tcPr>
            <w:tcW w:w="2271" w:type="dxa"/>
            <w:shd w:val="clear" w:color="auto" w:fill="FFEFCC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 w:righ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Objetivo</w:t>
            </w: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5" w:right="323" w:hang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(de modo sucinto), incluindo BANCAS</w:t>
            </w:r>
          </w:p>
        </w:tc>
        <w:tc>
          <w:tcPr>
            <w:tcW w:w="2267" w:type="dxa"/>
            <w:shd w:val="clear" w:color="auto" w:fill="FFEFCC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" w:right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Resultado/Produto esperado</w:t>
            </w:r>
          </w:p>
        </w:tc>
        <w:tc>
          <w:tcPr>
            <w:tcW w:w="2127" w:type="dxa"/>
            <w:shd w:val="clear" w:color="auto" w:fill="FFEFCC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5" w:righ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Discriminação da despesa (incluir todas as informações; nome de beneficiário/a – se for o caso: por exemplo, passagem para o/a professor/a XXX, diárias para a professor/a YYY etc.)</w:t>
            </w:r>
          </w:p>
        </w:tc>
        <w:tc>
          <w:tcPr>
            <w:tcW w:w="1561" w:type="dxa"/>
            <w:shd w:val="clear" w:color="auto" w:fill="FFEFCC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0" w:right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Quantidade</w:t>
            </w:r>
          </w:p>
        </w:tc>
        <w:tc>
          <w:tcPr>
            <w:tcW w:w="1561" w:type="dxa"/>
            <w:shd w:val="clear" w:color="auto" w:fill="FFEFCC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" w:righ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Valor em reais (pode ser estimativa)</w:t>
            </w:r>
          </w:p>
        </w:tc>
        <w:tc>
          <w:tcPr>
            <w:tcW w:w="2411" w:type="dxa"/>
            <w:shd w:val="clear" w:color="auto" w:fill="FFFF00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5" w:right="254" w:hanging="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Mês a ser executado (</w:t>
            </w:r>
            <w:r w:rsidRPr="00EE6B4C">
              <w:rPr>
                <w:b/>
                <w:color w:val="FF0000"/>
                <w:sz w:val="20"/>
                <w:szCs w:val="20"/>
              </w:rPr>
              <w:t>de julho de 2025 a 31 de março de 2026</w:t>
            </w:r>
            <w:r>
              <w:rPr>
                <w:rStyle w:val="Refdenotaderodap"/>
                <w:b/>
                <w:color w:val="FF0000"/>
                <w:sz w:val="20"/>
                <w:szCs w:val="20"/>
              </w:rPr>
              <w:footnoteReference w:id="1"/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877959" w:rsidTr="00975985">
        <w:trPr>
          <w:trHeight w:val="278"/>
        </w:trPr>
        <w:tc>
          <w:tcPr>
            <w:tcW w:w="141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7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877959" w:rsidTr="00975985">
        <w:trPr>
          <w:trHeight w:val="278"/>
        </w:trPr>
        <w:tc>
          <w:tcPr>
            <w:tcW w:w="141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7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877959" w:rsidTr="00975985">
        <w:trPr>
          <w:trHeight w:val="273"/>
        </w:trPr>
        <w:tc>
          <w:tcPr>
            <w:tcW w:w="141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7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877959" w:rsidTr="00975985">
        <w:trPr>
          <w:trHeight w:val="278"/>
        </w:trPr>
        <w:tc>
          <w:tcPr>
            <w:tcW w:w="141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7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877959" w:rsidTr="00975985">
        <w:trPr>
          <w:trHeight w:val="758"/>
        </w:trPr>
        <w:tc>
          <w:tcPr>
            <w:tcW w:w="141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</w:rPr>
            </w:pPr>
          </w:p>
        </w:tc>
        <w:tc>
          <w:tcPr>
            <w:tcW w:w="227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</w:rPr>
            </w:pPr>
          </w:p>
        </w:tc>
        <w:tc>
          <w:tcPr>
            <w:tcW w:w="226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</w:rPr>
            </w:pPr>
          </w:p>
        </w:tc>
        <w:tc>
          <w:tcPr>
            <w:tcW w:w="2127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" w:right="10"/>
              <w:jc w:val="center"/>
              <w:rPr>
                <w:color w:val="000000"/>
              </w:rPr>
            </w:pPr>
            <w:r>
              <w:rPr>
                <w:color w:val="000000"/>
              </w:rPr>
              <w:t>Acrescente quantas</w:t>
            </w:r>
          </w:p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55" w:right="42"/>
              <w:jc w:val="center"/>
              <w:rPr>
                <w:color w:val="000000"/>
              </w:rPr>
            </w:pPr>
            <w:r>
              <w:rPr>
                <w:color w:val="000000"/>
              </w:rPr>
              <w:t>linhas forem necessárias</w:t>
            </w: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</w:rPr>
            </w:pPr>
          </w:p>
        </w:tc>
        <w:tc>
          <w:tcPr>
            <w:tcW w:w="156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</w:rPr>
            </w:pPr>
          </w:p>
        </w:tc>
        <w:tc>
          <w:tcPr>
            <w:tcW w:w="2411" w:type="dxa"/>
          </w:tcPr>
          <w:p w:rsidR="00877959" w:rsidRDefault="00877959" w:rsidP="00975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/>
              <w:jc w:val="left"/>
              <w:rPr>
                <w:color w:val="000000"/>
              </w:rPr>
            </w:pPr>
          </w:p>
        </w:tc>
      </w:tr>
    </w:tbl>
    <w:p w:rsidR="00877959" w:rsidRDefault="00877959" w:rsidP="00877959">
      <w:pPr>
        <w:pStyle w:val="Ttulo1"/>
        <w:spacing w:before="267"/>
        <w:ind w:right="3213"/>
        <w:jc w:val="right"/>
      </w:pPr>
      <w:bookmarkStart w:id="0" w:name="bookmark=id.karafhpkcptf" w:colFirst="0" w:colLast="0"/>
      <w:bookmarkEnd w:id="0"/>
      <w:r>
        <w:t>Observações para o preenchimento do quadro acima e para as solicitações/encaminhamentos futuros:</w:t>
      </w:r>
    </w:p>
    <w:p w:rsidR="00877959" w:rsidRDefault="00877959" w:rsidP="00877959">
      <w:pPr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0" w:right="0"/>
        <w:jc w:val="left"/>
        <w:rPr>
          <w:b/>
          <w:color w:val="000000"/>
          <w:sz w:val="24"/>
          <w:szCs w:val="24"/>
        </w:rPr>
      </w:pP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6"/>
          <w:tab w:val="left" w:pos="2358"/>
          <w:tab w:val="left" w:pos="3462"/>
          <w:tab w:val="left" w:pos="4927"/>
          <w:tab w:val="left" w:pos="6357"/>
          <w:tab w:val="left" w:pos="7640"/>
          <w:tab w:val="left" w:pos="9540"/>
          <w:tab w:val="left" w:pos="10636"/>
          <w:tab w:val="left" w:pos="12139"/>
          <w:tab w:val="left" w:pos="13243"/>
        </w:tabs>
        <w:ind w:right="63"/>
        <w:rPr>
          <w:color w:val="000000"/>
          <w:sz w:val="24"/>
          <w:szCs w:val="24"/>
        </w:rPr>
        <w:sectPr w:rsidR="00877959">
          <w:pgSz w:w="16840" w:h="11910" w:orient="landscape"/>
          <w:pgMar w:top="1340" w:right="1559" w:bottom="280" w:left="1559" w:header="720" w:footer="720" w:gutter="0"/>
          <w:cols w:space="720"/>
        </w:sectPr>
      </w:pPr>
      <w:r>
        <w:rPr>
          <w:color w:val="000000"/>
          <w:sz w:val="24"/>
          <w:szCs w:val="24"/>
        </w:rPr>
        <w:t>exemplos de objetivos para preencher o quadro são: participação de membro externo para a banca do/a discente XX; ministrar seminário/conferência no PPGEDU; organizar colóquio XXX ou evento regional, nacional, internacional; apresentar trabalho no Congresso</w:t>
      </w:r>
      <w:r>
        <w:rPr>
          <w:color w:val="000000"/>
          <w:sz w:val="24"/>
          <w:szCs w:val="24"/>
        </w:rPr>
        <w:tab/>
        <w:t>Y;</w:t>
      </w:r>
      <w:r>
        <w:rPr>
          <w:color w:val="000000"/>
          <w:sz w:val="24"/>
          <w:szCs w:val="24"/>
        </w:rPr>
        <w:tab/>
        <w:t>enviar</w:t>
      </w:r>
      <w:r>
        <w:rPr>
          <w:color w:val="000000"/>
          <w:sz w:val="24"/>
          <w:szCs w:val="24"/>
        </w:rPr>
        <w:tab/>
        <w:t>artigo</w:t>
      </w:r>
      <w:r>
        <w:rPr>
          <w:color w:val="000000"/>
          <w:sz w:val="24"/>
          <w:szCs w:val="24"/>
        </w:rPr>
        <w:tab/>
        <w:t>para</w:t>
      </w:r>
      <w:r>
        <w:rPr>
          <w:color w:val="000000"/>
          <w:sz w:val="24"/>
          <w:szCs w:val="24"/>
        </w:rPr>
        <w:tab/>
        <w:t>publicação</w:t>
      </w:r>
      <w:r>
        <w:rPr>
          <w:color w:val="000000"/>
          <w:sz w:val="24"/>
          <w:szCs w:val="24"/>
        </w:rPr>
        <w:tab/>
        <w:t>na</w:t>
      </w:r>
      <w:r>
        <w:rPr>
          <w:color w:val="000000"/>
          <w:sz w:val="24"/>
          <w:szCs w:val="24"/>
        </w:rPr>
        <w:tab/>
        <w:t>revista</w:t>
      </w:r>
      <w:r>
        <w:rPr>
          <w:color w:val="000000"/>
          <w:sz w:val="24"/>
          <w:szCs w:val="24"/>
        </w:rPr>
        <w:tab/>
        <w:t>X;</w:t>
      </w:r>
      <w:r>
        <w:rPr>
          <w:color w:val="000000"/>
          <w:sz w:val="24"/>
          <w:szCs w:val="24"/>
        </w:rPr>
        <w:tab/>
        <w:t>etc.;</w:t>
      </w:r>
    </w:p>
    <w:p w:rsidR="00877959" w:rsidRDefault="00877959" w:rsidP="00877959">
      <w:pPr>
        <w:pBdr>
          <w:top w:val="nil"/>
          <w:left w:val="nil"/>
          <w:bottom w:val="nil"/>
          <w:right w:val="nil"/>
          <w:between w:val="nil"/>
        </w:pBdr>
        <w:spacing w:before="67" w:line="240" w:lineRule="auto"/>
        <w:ind w:left="0" w:right="0"/>
        <w:jc w:val="left"/>
        <w:rPr>
          <w:color w:val="000000"/>
          <w:sz w:val="24"/>
          <w:szCs w:val="24"/>
        </w:rPr>
      </w:pP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line="240" w:lineRule="auto"/>
        <w:ind w:left="475" w:right="0" w:hanging="359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UMA VEZ QUE OS RECURSOS SÃO ESCASSOS, SUGERE-SE A SOLICITAÇÃO DE DIÁRIAS</w:t>
      </w:r>
      <w:r>
        <w:rPr>
          <w:color w:val="000000"/>
          <w:sz w:val="24"/>
          <w:szCs w:val="24"/>
        </w:rPr>
        <w:t>. Contudo, em caso de passagem</w:t>
      </w:r>
    </w:p>
    <w:p w:rsidR="00877959" w:rsidRDefault="00877959" w:rsidP="00877959">
      <w:pPr>
        <w:pBdr>
          <w:top w:val="nil"/>
          <w:left w:val="nil"/>
          <w:bottom w:val="nil"/>
          <w:right w:val="nil"/>
          <w:between w:val="nil"/>
        </w:pBdr>
        <w:spacing w:before="2" w:line="242" w:lineRule="auto"/>
        <w:ind w:left="476" w:right="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aérea, indicar no quadro acima: nome completo; data provável; trecho. </w:t>
      </w:r>
      <w:r>
        <w:rPr>
          <w:color w:val="000000"/>
          <w:sz w:val="24"/>
          <w:szCs w:val="24"/>
          <w:u w:val="single"/>
        </w:rPr>
        <w:t>No momento da solicitação</w:t>
      </w:r>
      <w:r>
        <w:rPr>
          <w:color w:val="000000"/>
          <w:sz w:val="24"/>
          <w:szCs w:val="24"/>
        </w:rPr>
        <w:t xml:space="preserve">, encaminhar ao Setor Financeiro do PPGEDU </w:t>
      </w:r>
      <w:hyperlink r:id="rId8">
        <w:r>
          <w:rPr>
            <w:color w:val="000000"/>
            <w:sz w:val="24"/>
            <w:szCs w:val="24"/>
          </w:rPr>
          <w:t>(</w:t>
        </w:r>
      </w:hyperlink>
      <w:hyperlink r:id="rId9">
        <w:r>
          <w:rPr>
            <w:color w:val="1153CC"/>
            <w:sz w:val="24"/>
            <w:szCs w:val="24"/>
            <w:u w:val="single"/>
          </w:rPr>
          <w:t>proex-edu@ufrgs.br</w:t>
        </w:r>
      </w:hyperlink>
      <w:hyperlink r:id="rId10">
        <w:r>
          <w:rPr>
            <w:color w:val="000000"/>
            <w:sz w:val="24"/>
            <w:szCs w:val="24"/>
          </w:rPr>
          <w:t>)</w:t>
        </w:r>
      </w:hyperlink>
      <w:r>
        <w:rPr>
          <w:color w:val="000000"/>
          <w:sz w:val="24"/>
          <w:szCs w:val="24"/>
        </w:rPr>
        <w:t>: nome completo do passageiro (sem abreviações); data de nascimento; RG e CPF; cópia do passaporte (no caso de viagens internacionais); datas (ida e retorno) com faixa de horário desejada; trechos e aeroportos (quando a cidade tiver mais do que um);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6"/>
        </w:tabs>
        <w:spacing w:before="4"/>
        <w:ind w:right="5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 caso de passagens aéreas e diárias internacionais, solicitar ao Setor Financeiro o </w:t>
      </w:r>
      <w:r>
        <w:rPr>
          <w:i/>
          <w:color w:val="000000"/>
          <w:sz w:val="24"/>
          <w:szCs w:val="24"/>
        </w:rPr>
        <w:t>Termo de Concessão de Diárias e/ou Passagens</w:t>
      </w:r>
      <w:r>
        <w:rPr>
          <w:color w:val="000000"/>
          <w:sz w:val="24"/>
          <w:szCs w:val="24"/>
        </w:rPr>
        <w:t>, a fim de anexar à solicitação de afastamento do país (realizada no portal da UFRGS). Para que o PPGEDU encaminhe o pedido, enviar cópia (em PDF) da Portaria e DOU (no qual deverá constar “</w:t>
      </w:r>
      <w:r>
        <w:rPr>
          <w:color w:val="000000"/>
          <w:sz w:val="24"/>
          <w:szCs w:val="24"/>
          <w:u w:val="single"/>
        </w:rPr>
        <w:t>afastamento com ônus CAPES/PROEX</w:t>
      </w:r>
      <w:r>
        <w:rPr>
          <w:color w:val="000000"/>
          <w:sz w:val="24"/>
          <w:szCs w:val="24"/>
        </w:rPr>
        <w:t>”, no caso de concessão via PROEX, ou “</w:t>
      </w:r>
      <w:r>
        <w:rPr>
          <w:color w:val="000000"/>
          <w:sz w:val="24"/>
          <w:szCs w:val="24"/>
          <w:u w:val="single"/>
        </w:rPr>
        <w:t>afastamento com ônus FACED</w:t>
      </w:r>
      <w:r>
        <w:rPr>
          <w:color w:val="000000"/>
          <w:sz w:val="24"/>
          <w:szCs w:val="24"/>
        </w:rPr>
        <w:t>”, no caso de concessão via SCDP);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line="252" w:lineRule="auto"/>
        <w:ind w:left="475" w:right="0" w:hanging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diárias concedidas pelo SCDP têm valores variáveis, calculados automaticamente;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line="270" w:lineRule="auto"/>
        <w:ind w:left="475" w:right="0" w:hanging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diárias no exterior estão limitadas a 4 (quatro);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before="12" w:line="240" w:lineRule="auto"/>
        <w:ind w:left="475" w:right="0" w:hanging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passagens e diárias devem ser lançadas em linhas diferentes no quadro acima;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6"/>
        </w:tabs>
        <w:spacing w:before="8" w:line="242" w:lineRule="auto"/>
        <w:ind w:right="9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passagem e diária para membros de banca somente serão concedidas àqueles/as que farão outra atividade que seja importante para o Programa (por exemplo, palestra aberta ou seminário de curta duração – 15h);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6"/>
        </w:tabs>
        <w:ind w:right="9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para convidados deve-se escolher pagar o hotel (via SCDP) ou conceder diária (SCDP). De acordo com as regras da administração pública não se pode prever ambos para a mesma pessoa;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before="2" w:line="240" w:lineRule="auto"/>
        <w:ind w:left="475" w:right="0" w:hanging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diárias devem ser discriminadas com nome do/a beneficiário/a, nome do evento, cidade e período;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before="7" w:line="240" w:lineRule="auto"/>
        <w:ind w:left="475" w:right="0" w:hanging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Todas as passagens serão adquiridas diretamente pelo Setor Financeiro do PPGEDU, exceto nas situações em que haja permissão prévia;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before="8" w:line="240" w:lineRule="auto"/>
        <w:ind w:left="475" w:right="0" w:hanging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esta fonte (SCDP) não permite o financiamento para discentes.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before="12" w:line="240" w:lineRule="auto"/>
        <w:ind w:left="475" w:right="0" w:hanging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todas as despesas devem ser efetivadas até </w:t>
      </w:r>
      <w:r>
        <w:rPr>
          <w:b/>
          <w:color w:val="000000"/>
          <w:sz w:val="24"/>
          <w:szCs w:val="24"/>
        </w:rPr>
        <w:t>31 de março de 202</w:t>
      </w:r>
      <w:r>
        <w:rPr>
          <w:b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:rsidR="00877959" w:rsidRDefault="00877959" w:rsidP="00877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75"/>
        </w:tabs>
        <w:spacing w:before="17" w:line="240" w:lineRule="auto"/>
        <w:ind w:left="475" w:right="0" w:hanging="359"/>
        <w:rPr>
          <w:color w:val="000000"/>
          <w:sz w:val="24"/>
          <w:szCs w:val="24"/>
        </w:rPr>
        <w:sectPr w:rsidR="00877959">
          <w:pgSz w:w="16840" w:h="11910" w:orient="landscape"/>
          <w:pgMar w:top="1340" w:right="1559" w:bottom="280" w:left="1559" w:header="720" w:footer="720" w:gutter="0"/>
          <w:cols w:space="720"/>
        </w:sectPr>
      </w:pPr>
      <w:r>
        <w:rPr>
          <w:color w:val="000000"/>
          <w:sz w:val="24"/>
          <w:szCs w:val="24"/>
        </w:rPr>
        <w:t xml:space="preserve">dúvidas podem ser esclarecidas pelo Setor Financeiro </w:t>
      </w:r>
      <w:hyperlink r:id="rId11">
        <w:r>
          <w:rPr>
            <w:color w:val="000000"/>
            <w:sz w:val="24"/>
            <w:szCs w:val="24"/>
          </w:rPr>
          <w:t>(</w:t>
        </w:r>
      </w:hyperlink>
      <w:hyperlink r:id="rId12">
        <w:r>
          <w:rPr>
            <w:color w:val="1153CC"/>
            <w:sz w:val="24"/>
            <w:szCs w:val="24"/>
            <w:u w:val="single"/>
          </w:rPr>
          <w:t>proex-edu@ufrgs.br</w:t>
        </w:r>
      </w:hyperlink>
      <w:r>
        <w:rPr>
          <w:color w:val="000000"/>
          <w:sz w:val="24"/>
          <w:szCs w:val="24"/>
        </w:rPr>
        <w:t>).</w:t>
      </w:r>
    </w:p>
    <w:p w:rsidR="00197401" w:rsidRDefault="00197401">
      <w:bookmarkStart w:id="1" w:name="_GoBack"/>
      <w:bookmarkEnd w:id="1"/>
    </w:p>
    <w:sectPr w:rsidR="00197401" w:rsidSect="0087795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5F8" w:rsidRDefault="00E535F8" w:rsidP="00877959">
      <w:pPr>
        <w:spacing w:line="240" w:lineRule="auto"/>
      </w:pPr>
      <w:r>
        <w:separator/>
      </w:r>
    </w:p>
  </w:endnote>
  <w:endnote w:type="continuationSeparator" w:id="0">
    <w:p w:rsidR="00E535F8" w:rsidRDefault="00E535F8" w:rsidP="008779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5F8" w:rsidRDefault="00E535F8" w:rsidP="00877959">
      <w:pPr>
        <w:spacing w:line="240" w:lineRule="auto"/>
      </w:pPr>
      <w:r>
        <w:separator/>
      </w:r>
    </w:p>
  </w:footnote>
  <w:footnote w:type="continuationSeparator" w:id="0">
    <w:p w:rsidR="00E535F8" w:rsidRDefault="00E535F8" w:rsidP="00877959">
      <w:pPr>
        <w:spacing w:line="240" w:lineRule="auto"/>
      </w:pPr>
      <w:r>
        <w:continuationSeparator/>
      </w:r>
    </w:p>
  </w:footnote>
  <w:footnote w:id="1">
    <w:p w:rsidR="00877959" w:rsidRPr="00CA74D6" w:rsidRDefault="00877959" w:rsidP="0087795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rPr>
          <w:lang w:val="pt-BR"/>
        </w:rPr>
        <w:t>Retificado em 18/07/2025.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760A3"/>
    <w:multiLevelType w:val="multilevel"/>
    <w:tmpl w:val="3690A230"/>
    <w:lvl w:ilvl="0">
      <w:start w:val="1"/>
      <w:numFmt w:val="decimal"/>
      <w:lvlText w:val="%1)"/>
      <w:lvlJc w:val="left"/>
      <w:pPr>
        <w:ind w:left="476" w:hanging="360"/>
      </w:pPr>
      <w:rPr>
        <w:rFonts w:ascii="Verdana" w:eastAsia="Verdana" w:hAnsi="Verdana" w:cs="Verdana"/>
        <w:b w:val="0"/>
        <w:i w:val="0"/>
        <w:sz w:val="18"/>
        <w:szCs w:val="18"/>
      </w:rPr>
    </w:lvl>
    <w:lvl w:ilvl="1">
      <w:numFmt w:val="bullet"/>
      <w:lvlText w:val="•"/>
      <w:lvlJc w:val="left"/>
      <w:pPr>
        <w:ind w:left="1804" w:hanging="360"/>
      </w:pPr>
    </w:lvl>
    <w:lvl w:ilvl="2">
      <w:numFmt w:val="bullet"/>
      <w:lvlText w:val="•"/>
      <w:lvlJc w:val="left"/>
      <w:pPr>
        <w:ind w:left="3128" w:hanging="360"/>
      </w:pPr>
    </w:lvl>
    <w:lvl w:ilvl="3">
      <w:numFmt w:val="bullet"/>
      <w:lvlText w:val="•"/>
      <w:lvlJc w:val="left"/>
      <w:pPr>
        <w:ind w:left="4452" w:hanging="360"/>
      </w:pPr>
    </w:lvl>
    <w:lvl w:ilvl="4">
      <w:numFmt w:val="bullet"/>
      <w:lvlText w:val="•"/>
      <w:lvlJc w:val="left"/>
      <w:pPr>
        <w:ind w:left="5776" w:hanging="360"/>
      </w:pPr>
    </w:lvl>
    <w:lvl w:ilvl="5">
      <w:numFmt w:val="bullet"/>
      <w:lvlText w:val="•"/>
      <w:lvlJc w:val="left"/>
      <w:pPr>
        <w:ind w:left="7100" w:hanging="360"/>
      </w:pPr>
    </w:lvl>
    <w:lvl w:ilvl="6">
      <w:numFmt w:val="bullet"/>
      <w:lvlText w:val="•"/>
      <w:lvlJc w:val="left"/>
      <w:pPr>
        <w:ind w:left="8424" w:hanging="360"/>
      </w:pPr>
    </w:lvl>
    <w:lvl w:ilvl="7">
      <w:numFmt w:val="bullet"/>
      <w:lvlText w:val="•"/>
      <w:lvlJc w:val="left"/>
      <w:pPr>
        <w:ind w:left="9748" w:hanging="360"/>
      </w:pPr>
    </w:lvl>
    <w:lvl w:ilvl="8">
      <w:numFmt w:val="bullet"/>
      <w:lvlText w:val="•"/>
      <w:lvlJc w:val="left"/>
      <w:pPr>
        <w:ind w:left="1107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9FC"/>
    <w:rsid w:val="00197401"/>
    <w:rsid w:val="00877959"/>
    <w:rsid w:val="00DE29FC"/>
    <w:rsid w:val="00E5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35DF7-2B0B-442C-B57F-9BFDF4A5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77959"/>
    <w:pPr>
      <w:widowControl w:val="0"/>
      <w:spacing w:after="0" w:line="246" w:lineRule="auto"/>
      <w:ind w:left="429" w:right="627"/>
      <w:jc w:val="both"/>
    </w:pPr>
    <w:rPr>
      <w:rFonts w:ascii="Times New Roman" w:eastAsia="Times New Roman" w:hAnsi="Times New Roman" w:cs="Times New Roman"/>
      <w:lang w:val="pt-PT" w:eastAsia="pt-BR"/>
    </w:rPr>
  </w:style>
  <w:style w:type="paragraph" w:styleId="Ttulo1">
    <w:name w:val="heading 1"/>
    <w:basedOn w:val="Normal"/>
    <w:link w:val="Ttulo1Char"/>
    <w:uiPriority w:val="1"/>
    <w:qFormat/>
    <w:rsid w:val="00877959"/>
    <w:pPr>
      <w:ind w:right="98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877959"/>
    <w:rPr>
      <w:rFonts w:ascii="Times New Roman" w:eastAsia="Times New Roman" w:hAnsi="Times New Roman" w:cs="Times New Roman"/>
      <w:b/>
      <w:bCs/>
      <w:sz w:val="24"/>
      <w:szCs w:val="24"/>
      <w:lang w:val="pt-PT"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7795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77959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8779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iroppgedu@ufrgs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ex-edu@ufrgs.br" TargetMode="External"/><Relationship Id="rId12" Type="http://schemas.openxmlformats.org/officeDocument/2006/relationships/hyperlink" Target="mailto:financeiroppgedu@ufrgs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inanceiroppgedu@ufrgs.b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inanceiroppgedu@ufrgs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nanceiroppgedu@ufrgs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DE ALEXANDRIA MACHADO</dc:creator>
  <cp:keywords/>
  <dc:description/>
  <cp:lastModifiedBy>LEONARDO DE ALEXANDRIA MACHADO</cp:lastModifiedBy>
  <cp:revision>2</cp:revision>
  <dcterms:created xsi:type="dcterms:W3CDTF">2025-07-18T11:39:00Z</dcterms:created>
  <dcterms:modified xsi:type="dcterms:W3CDTF">2025-07-18T11:40:00Z</dcterms:modified>
</cp:coreProperties>
</file>