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114.00009155273438" w:right="687.4015748031502" w:firstLine="0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114.00009155273438" w:right="687.4015748031502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single"/>
          <w:vertAlign w:val="baseline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141.36001586914062" w:right="687.4015748031502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5.0" w:type="dxa"/>
        <w:jc w:val="left"/>
        <w:tblInd w:w="57.0000000000001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45"/>
        <w:gridCol w:w="2070"/>
        <w:gridCol w:w="1470"/>
        <w:tblGridChange w:id="0">
          <w:tblGrid>
            <w:gridCol w:w="5745"/>
            <w:gridCol w:w="2070"/>
            <w:gridCol w:w="1470"/>
          </w:tblGrid>
        </w:tblGridChange>
      </w:tblGrid>
      <w:tr>
        <w:trPr>
          <w:cantSplit w:val="0"/>
          <w:trHeight w:val="319.598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Itens a pontuar no currículo (pontuação total máxima: 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17.91308879852295" w:lineRule="auto"/>
              <w:ind w:right="12.9448818897635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Página(s) do arquivo “Documentos comprobatórios” em que consta(m) o(s) comprovante(s) pertinente(s)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17.91308879852295" w:lineRule="auto"/>
              <w:ind w:right="12.9448818897635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Sugestão de pontuação, por parte do(a) candidato(a)</w:t>
            </w:r>
          </w:p>
        </w:tc>
      </w:tr>
      <w:tr>
        <w:trPr>
          <w:cantSplit w:val="0"/>
          <w:trHeight w:val="319.598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(1) Desempenho acadêmico (máximo 3)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63.8740157480319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(1.1)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80% das notas da graduação A ou acima de 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9.20043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(1.2)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Máximo de 10% de reprovação no curso de graduação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(2) Publicações e apresentações em eventos (máximo 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21.9108247756958" w:lineRule="auto"/>
              <w:ind w:right="-145.322834645669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21.9108247756958" w:lineRule="auto"/>
              <w:ind w:right="-77.85826771653547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.0000000000027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27.9091739654541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(2.1)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Artigos, resenhas ou capítulos de livro publicados em veículos julgados filosoficamente pertinentes pela comissão de seleção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.9986572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strike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(2.2)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Apresentação de trabalho julgado filosoficamente pertinente pela comissão de seleção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right="-3.590551181101546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(3) Bolsas, atuação em pesquisa, ensino e extensão no âmbito acadêmico (máximo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(3.1)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Semestre de atuação em IC, PET ou PIBID (remunerada ou voluntária)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(3.2)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Semestre de atuação em monitoria (remunerada ou voluntária)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(3.3)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Semestre de participação de equipe executora em ações extensionistas (remunerada ou voluntária)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(4) Títulos e prêmios (máximo 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(4.1)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Graduação em Filosofia ou atestado de provável formando em Filosofia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(4.2)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Graduação em outro curso ou atestado de provável formando em outro curso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(4.3)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Prêmios acadêmicos (destaques, menção honrosa etc.)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(5) Atuação profissional (máximo 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21.9108247756958" w:lineRule="auto"/>
              <w:ind w:right="-145.322834645669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21.9108247756958" w:lineRule="auto"/>
              <w:ind w:right="-77.85826771653547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.6012573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right="-29.952755905510458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(5.1)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Semestre de docência (educação básica ou superior, cursos preparatórios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right="-53.858267716535465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671630859375" w:line="240" w:lineRule="auto"/>
        <w:ind w:left="0" w:right="687.4015748031502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60" w:w="11940" w:orient="portrait"/>
      <w:pgMar w:bottom="1485.3779527559082" w:top="334.98046875" w:left="1344.4798278808594" w:right="667.2009277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ind w:right="687.4015748031502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ind w:right="687.4015748031502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spacing w:line="240" w:lineRule="auto"/>
      <w:ind w:left="2061.520233154297" w:firstLine="0"/>
      <w:rPr/>
    </w:pPr>
    <w:r w:rsidDel="00000000" w:rsidR="00000000" w:rsidRPr="00000000">
      <w:rPr/>
      <w:drawing>
        <wp:inline distB="19050" distT="19050" distL="19050" distR="19050">
          <wp:extent cx="1580845" cy="443605"/>
          <wp:effectExtent b="0" l="0" r="0" t="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0845" cy="4436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           </w:t>
    </w:r>
    <w:r w:rsidDel="00000000" w:rsidR="00000000" w:rsidRPr="00000000">
      <w:rPr/>
      <w:drawing>
        <wp:inline distB="19050" distT="19050" distL="19050" distR="19050">
          <wp:extent cx="694070" cy="634365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4070" cy="63436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K9MMJ59luo2KFAR8uwLLEt0WYQ==">CgMxLjA4AHIhMU5McmJyb1B1Z0JTYkQzWWVRZkxVd29oU2pjLTBPQjJq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